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019E9" w14:textId="77777777" w:rsidR="00E55EFF" w:rsidRPr="00362D53" w:rsidRDefault="00E55EFF" w:rsidP="0093418D">
      <w:pPr>
        <w:pStyle w:val="Headline"/>
        <w:rPr>
          <w:lang w:val="en-US"/>
        </w:rPr>
      </w:pPr>
    </w:p>
    <w:p w14:paraId="1B144611" w14:textId="77777777" w:rsidR="00E55EFF" w:rsidRPr="00362D53" w:rsidRDefault="00E55EFF" w:rsidP="0093418D">
      <w:pPr>
        <w:pStyle w:val="Headline"/>
        <w:rPr>
          <w:lang w:val="en-US"/>
        </w:rPr>
      </w:pPr>
    </w:p>
    <w:p w14:paraId="2B010A8B" w14:textId="77777777" w:rsidR="00E55EFF" w:rsidRPr="00362D53" w:rsidRDefault="00E55EFF" w:rsidP="0093418D">
      <w:pPr>
        <w:pStyle w:val="Headline"/>
        <w:rPr>
          <w:lang w:val="en-US"/>
        </w:rPr>
      </w:pPr>
    </w:p>
    <w:p w14:paraId="7303D46E" w14:textId="77777777" w:rsidR="00E55EFF" w:rsidRPr="00362D53" w:rsidRDefault="00E55EFF" w:rsidP="00464BC2">
      <w:pPr>
        <w:pStyle w:val="Headline"/>
        <w:spacing w:line="320" w:lineRule="exact"/>
        <w:rPr>
          <w:lang w:val="en-US"/>
        </w:rPr>
      </w:pPr>
    </w:p>
    <w:p w14:paraId="35DF5D58" w14:textId="61FE4758" w:rsidR="0093418D" w:rsidRPr="00362D53" w:rsidRDefault="008C0BFE" w:rsidP="00464BC2">
      <w:pPr>
        <w:pStyle w:val="Headline"/>
        <w:spacing w:line="320" w:lineRule="exact"/>
        <w:rPr>
          <w:lang w:val="en-US"/>
        </w:rPr>
      </w:pPr>
      <w:r w:rsidRPr="00362D53">
        <w:rPr>
          <w:lang w:val="en-US"/>
        </w:rPr>
        <w:t>New accuracy line series of Galaxie</w:t>
      </w:r>
      <w:r w:rsidRPr="00362D53">
        <w:rPr>
          <w:vertAlign w:val="superscript"/>
          <w:lang w:val="en-US"/>
        </w:rPr>
        <w:t>®</w:t>
      </w:r>
      <w:r w:rsidRPr="00362D53">
        <w:rPr>
          <w:lang w:val="en-US"/>
        </w:rPr>
        <w:t xml:space="preserve"> gearboxes</w:t>
      </w:r>
    </w:p>
    <w:p w14:paraId="550CBF53" w14:textId="77777777" w:rsidR="0093418D" w:rsidRPr="00362D53" w:rsidRDefault="0093418D" w:rsidP="00464BC2">
      <w:pPr>
        <w:pStyle w:val="Subheadline"/>
        <w:spacing w:line="320" w:lineRule="exact"/>
        <w:rPr>
          <w:lang w:val="en-US"/>
        </w:rPr>
      </w:pPr>
    </w:p>
    <w:p w14:paraId="6514C27E" w14:textId="0D9689AC" w:rsidR="0093418D" w:rsidRPr="00362D53" w:rsidRDefault="003A2B45" w:rsidP="00E55EFF">
      <w:pPr>
        <w:pStyle w:val="Subheadline"/>
        <w:spacing w:line="260" w:lineRule="exact"/>
        <w:rPr>
          <w:lang w:val="en-US"/>
        </w:rPr>
      </w:pPr>
      <w:r w:rsidRPr="00362D53">
        <w:rPr>
          <w:color w:val="auto"/>
          <w:lang w:val="en-US"/>
        </w:rPr>
        <w:t>WITTENSTEIN galaxie GmbH has just launched a new series of Galaxie</w:t>
      </w:r>
      <w:r w:rsidRPr="00362D53">
        <w:rPr>
          <w:color w:val="auto"/>
          <w:vertAlign w:val="superscript"/>
          <w:lang w:val="en-US"/>
        </w:rPr>
        <w:t>®</w:t>
      </w:r>
      <w:r w:rsidRPr="00362D53">
        <w:rPr>
          <w:color w:val="auto"/>
          <w:lang w:val="en-US"/>
        </w:rPr>
        <w:t xml:space="preserve"> gearboxes – the Galaxie</w:t>
      </w:r>
      <w:r w:rsidRPr="00362D53">
        <w:rPr>
          <w:color w:val="auto"/>
          <w:vertAlign w:val="superscript"/>
          <w:lang w:val="en-US"/>
        </w:rPr>
        <w:t>®</w:t>
      </w:r>
      <w:r w:rsidRPr="00362D53">
        <w:rPr>
          <w:color w:val="auto"/>
          <w:lang w:val="en-US"/>
        </w:rPr>
        <w:t xml:space="preserve"> accuracy line. </w:t>
      </w:r>
      <w:r w:rsidRPr="00362D53">
        <w:rPr>
          <w:lang w:val="en-US"/>
        </w:rPr>
        <w:t>Its kinematics, bearing, ratios and size were specifically designed to meet the requirements of high-precision applications. The Galaxie</w:t>
      </w:r>
      <w:r w:rsidRPr="00362D53">
        <w:rPr>
          <w:vertAlign w:val="superscript"/>
          <w:lang w:val="en-US"/>
        </w:rPr>
        <w:t>®</w:t>
      </w:r>
      <w:r w:rsidRPr="00362D53">
        <w:rPr>
          <w:lang w:val="en-US"/>
        </w:rPr>
        <w:t xml:space="preserve"> accuracy line comprises </w:t>
      </w:r>
      <w:r w:rsidRPr="00362D53">
        <w:rPr>
          <w:color w:val="auto"/>
          <w:lang w:val="en-US"/>
        </w:rPr>
        <w:t>several</w:t>
      </w:r>
      <w:r w:rsidRPr="00362D53">
        <w:rPr>
          <w:lang w:val="en-US"/>
        </w:rPr>
        <w:t xml:space="preserve"> product variants: flange gearboxes, hollow shaft gearboxes and customized servo actuators. The new series – including two miniaturized variants – is available in five different sizes and rated for maximum torques of 150 to 6000 Nm. </w:t>
      </w:r>
    </w:p>
    <w:p w14:paraId="1F3A9CED" w14:textId="77777777" w:rsidR="0093418D" w:rsidRPr="00362D53" w:rsidRDefault="0093418D" w:rsidP="00DC5E12">
      <w:pPr>
        <w:pStyle w:val="Flietext"/>
        <w:rPr>
          <w:lang w:val="en-US"/>
        </w:rPr>
      </w:pPr>
    </w:p>
    <w:p w14:paraId="3A45547F" w14:textId="1CE0298B" w:rsidR="00C12291" w:rsidRPr="00362D53" w:rsidRDefault="00716A00" w:rsidP="00DC5E12">
      <w:pPr>
        <w:pStyle w:val="Flietext"/>
        <w:rPr>
          <w:lang w:val="en-US"/>
        </w:rPr>
      </w:pPr>
      <w:r w:rsidRPr="00362D53">
        <w:rPr>
          <w:lang w:val="en-US"/>
        </w:rPr>
        <w:t>The DNA of the proven Galax</w:t>
      </w:r>
      <w:r w:rsidRPr="00362D53">
        <w:rPr>
          <w:rFonts w:asciiTheme="minorHAnsi" w:hAnsiTheme="minorHAnsi"/>
          <w:lang w:val="en-US"/>
        </w:rPr>
        <w:t>ie</w:t>
      </w:r>
      <w:r w:rsidRPr="00362D53">
        <w:rPr>
          <w:rFonts w:asciiTheme="minorHAnsi" w:hAnsiTheme="minorHAnsi"/>
          <w:vertAlign w:val="superscript"/>
          <w:lang w:val="en-US"/>
        </w:rPr>
        <w:t>®</w:t>
      </w:r>
      <w:r w:rsidRPr="00362D53">
        <w:rPr>
          <w:rFonts w:asciiTheme="minorHAnsi" w:hAnsiTheme="minorHAnsi"/>
          <w:lang w:val="en-US"/>
        </w:rPr>
        <w:t xml:space="preserve"> gearboxes, which now form the Galaxie</w:t>
      </w:r>
      <w:r w:rsidRPr="00362D53">
        <w:rPr>
          <w:rFonts w:asciiTheme="minorHAnsi" w:hAnsiTheme="minorHAnsi"/>
          <w:vertAlign w:val="superscript"/>
          <w:lang w:val="en-US"/>
        </w:rPr>
        <w:t>®</w:t>
      </w:r>
      <w:r w:rsidRPr="00362D53">
        <w:rPr>
          <w:rFonts w:asciiTheme="minorHAnsi" w:hAnsiTheme="minorHAnsi"/>
          <w:lang w:val="en-US"/>
        </w:rPr>
        <w:t xml:space="preserve"> robustness line series </w:t>
      </w:r>
      <w:r w:rsidRPr="00362D53">
        <w:rPr>
          <w:rFonts w:asciiTheme="minorHAnsi" w:hAnsiTheme="minorHAnsi"/>
          <w:color w:val="auto"/>
          <w:lang w:val="en-US"/>
        </w:rPr>
        <w:t xml:space="preserve">and feature </w:t>
      </w:r>
      <w:r w:rsidRPr="00362D53">
        <w:rPr>
          <w:lang w:val="en-US"/>
        </w:rPr>
        <w:t>a</w:t>
      </w:r>
      <w:r w:rsidRPr="00362D53">
        <w:rPr>
          <w:rFonts w:asciiTheme="minorHAnsi" w:hAnsiTheme="minorHAnsi"/>
          <w:color w:val="auto"/>
          <w:lang w:val="en-US"/>
        </w:rPr>
        <w:t xml:space="preserve"> </w:t>
      </w:r>
      <w:r w:rsidRPr="00362D53">
        <w:rPr>
          <w:rStyle w:val="cf01"/>
          <w:rFonts w:asciiTheme="minorHAnsi" w:hAnsiTheme="minorHAnsi"/>
          <w:color w:val="auto"/>
          <w:sz w:val="20"/>
          <w:lang w:val="en-US"/>
        </w:rPr>
        <w:t>higher overload capacity as well as a more robust output bearing</w:t>
      </w:r>
      <w:r w:rsidRPr="00362D53">
        <w:rPr>
          <w:lang w:val="en-US"/>
        </w:rPr>
        <w:t xml:space="preserve">, is </w:t>
      </w:r>
      <w:r w:rsidRPr="00362D53">
        <w:rPr>
          <w:rFonts w:asciiTheme="minorHAnsi" w:hAnsiTheme="minorHAnsi"/>
          <w:lang w:val="en-US"/>
        </w:rPr>
        <w:t>unchanged</w:t>
      </w:r>
      <w:r w:rsidRPr="00362D53">
        <w:rPr>
          <w:lang w:val="en-US"/>
        </w:rPr>
        <w:t>.</w:t>
      </w:r>
      <w:r w:rsidRPr="00362D53">
        <w:rPr>
          <w:rFonts w:asciiTheme="minorHAnsi" w:hAnsiTheme="minorHAnsi"/>
          <w:lang w:val="en-US"/>
        </w:rPr>
        <w:t xml:space="preserve"> With their zero backlash, maximum torsional rigidity, high torque density, extremely smooth </w:t>
      </w:r>
      <w:proofErr w:type="gramStart"/>
      <w:r w:rsidRPr="00362D53">
        <w:rPr>
          <w:rFonts w:asciiTheme="minorHAnsi" w:hAnsiTheme="minorHAnsi"/>
          <w:lang w:val="en-US"/>
        </w:rPr>
        <w:t>running</w:t>
      </w:r>
      <w:proofErr w:type="gramEnd"/>
      <w:r w:rsidRPr="00362D53">
        <w:rPr>
          <w:rFonts w:asciiTheme="minorHAnsi" w:hAnsiTheme="minorHAnsi"/>
          <w:lang w:val="en-US"/>
        </w:rPr>
        <w:t xml:space="preserve"> and large hollow shaft, the two series set</w:t>
      </w:r>
      <w:r w:rsidRPr="00362D53">
        <w:rPr>
          <w:lang w:val="en-US"/>
        </w:rPr>
        <w:t xml:space="preserve"> the standard in the market for precision gearboxes.</w:t>
      </w:r>
    </w:p>
    <w:p w14:paraId="2F3B6C5E" w14:textId="77777777" w:rsidR="00E55EFF" w:rsidRPr="00362D53" w:rsidRDefault="00E55EFF" w:rsidP="00DC5E12">
      <w:pPr>
        <w:pStyle w:val="Flietext"/>
        <w:rPr>
          <w:b/>
          <w:bCs/>
          <w:lang w:val="en-US"/>
        </w:rPr>
      </w:pPr>
    </w:p>
    <w:p w14:paraId="4E1EE4DE" w14:textId="72728A95" w:rsidR="00C12291" w:rsidRPr="00362D53" w:rsidRDefault="004C68BC" w:rsidP="00DC5E12">
      <w:pPr>
        <w:pStyle w:val="Flietext"/>
        <w:rPr>
          <w:b/>
          <w:bCs/>
          <w:lang w:val="en-US"/>
        </w:rPr>
      </w:pPr>
      <w:r w:rsidRPr="00362D53">
        <w:rPr>
          <w:b/>
          <w:color w:val="auto"/>
          <w:lang w:val="en-US"/>
        </w:rPr>
        <w:t>Galaxie</w:t>
      </w:r>
      <w:r w:rsidRPr="00362D53">
        <w:rPr>
          <w:b/>
          <w:color w:val="auto"/>
          <w:vertAlign w:val="superscript"/>
          <w:lang w:val="en-US"/>
        </w:rPr>
        <w:t>®</w:t>
      </w:r>
      <w:r w:rsidRPr="00362D53">
        <w:rPr>
          <w:b/>
          <w:color w:val="auto"/>
          <w:lang w:val="en-US"/>
        </w:rPr>
        <w:t xml:space="preserve"> accuracy </w:t>
      </w:r>
      <w:r w:rsidRPr="00362D53">
        <w:rPr>
          <w:b/>
          <w:lang w:val="en-US"/>
        </w:rPr>
        <w:t>line series: Precision first</w:t>
      </w:r>
    </w:p>
    <w:p w14:paraId="50B8A9E7" w14:textId="77777777" w:rsidR="003748C6" w:rsidRPr="00362D53" w:rsidRDefault="003748C6" w:rsidP="0048412B">
      <w:pPr>
        <w:pStyle w:val="Flietext"/>
        <w:rPr>
          <w:lang w:val="en-US"/>
        </w:rPr>
      </w:pPr>
    </w:p>
    <w:p w14:paraId="57C0DB00" w14:textId="2FA464B8" w:rsidR="003748C6" w:rsidRPr="00362D53" w:rsidRDefault="00554B1D" w:rsidP="0048412B">
      <w:pPr>
        <w:pStyle w:val="Flietext"/>
        <w:rPr>
          <w:lang w:val="en-US"/>
        </w:rPr>
      </w:pPr>
      <w:r w:rsidRPr="00362D53">
        <w:rPr>
          <w:lang w:val="en-US"/>
        </w:rPr>
        <w:t xml:space="preserve">The precision-oriented design of the new accuracy line is the outcome of various measures. The number of teeth in the gearbox has been altered, for instance – and with it the gear ratio and the direction of rotation. This results in larger ratios coupled with improved </w:t>
      </w:r>
      <w:r w:rsidRPr="00362D53">
        <w:rPr>
          <w:rFonts w:asciiTheme="minorHAnsi" w:hAnsiTheme="minorHAnsi"/>
          <w:lang w:val="en-US"/>
        </w:rPr>
        <w:t>positioning in very small angle ranges</w:t>
      </w:r>
      <w:r w:rsidRPr="00362D53">
        <w:rPr>
          <w:lang w:val="en-US"/>
        </w:rPr>
        <w:t>.</w:t>
      </w:r>
      <w:r w:rsidRPr="00362D53">
        <w:rPr>
          <w:rFonts w:asciiTheme="minorHAnsi" w:hAnsiTheme="minorHAnsi"/>
          <w:lang w:val="en-US"/>
        </w:rPr>
        <w:t xml:space="preserve"> Among other things, precision</w:t>
      </w:r>
      <w:r w:rsidRPr="00362D53">
        <w:rPr>
          <w:lang w:val="en-US"/>
        </w:rPr>
        <w:t xml:space="preserve"> </w:t>
      </w:r>
      <w:hyperlink r:id="rId11" w:tooltip="Machine tool" w:history="1">
        <w:r w:rsidRPr="00362D53">
          <w:rPr>
            <w:lang w:val="en-US"/>
          </w:rPr>
          <w:t>machine tools</w:t>
        </w:r>
      </w:hyperlink>
      <w:r w:rsidRPr="00362D53">
        <w:rPr>
          <w:rFonts w:asciiTheme="minorHAnsi" w:hAnsiTheme="minorHAnsi"/>
          <w:lang w:val="en-US"/>
        </w:rPr>
        <w:t xml:space="preserve"> or robots can now execute even the tiniest movements without stick-slip. </w:t>
      </w:r>
      <w:r w:rsidRPr="00362D53">
        <w:rPr>
          <w:rStyle w:val="cf01"/>
          <w:rFonts w:asciiTheme="minorHAnsi" w:hAnsiTheme="minorHAnsi"/>
          <w:color w:val="auto"/>
          <w:sz w:val="20"/>
          <w:lang w:val="en-US"/>
        </w:rPr>
        <w:t>That increases the accuracy of the components and enables even better surface quality.</w:t>
      </w:r>
      <w:r w:rsidRPr="00362D53">
        <w:rPr>
          <w:rFonts w:asciiTheme="minorHAnsi" w:hAnsiTheme="minorHAnsi"/>
          <w:color w:val="auto"/>
          <w:lang w:val="en-US"/>
        </w:rPr>
        <w:t xml:space="preserve"> </w:t>
      </w:r>
      <w:r w:rsidRPr="00362D53">
        <w:rPr>
          <w:rFonts w:asciiTheme="minorHAnsi" w:hAnsiTheme="minorHAnsi"/>
          <w:lang w:val="en-US"/>
        </w:rPr>
        <w:t xml:space="preserve">Not only this but movements become more controllable and smaller motors and controllers can be employed. A super-precision bearing ensures </w:t>
      </w:r>
      <w:r w:rsidRPr="00362D53">
        <w:rPr>
          <w:lang w:val="en-US"/>
        </w:rPr>
        <w:t xml:space="preserve">high tilting rigidity, optimized axial and radial runout and improved synchronous running. </w:t>
      </w:r>
    </w:p>
    <w:p w14:paraId="089DFE70" w14:textId="77777777" w:rsidR="003748C6" w:rsidRPr="00362D53" w:rsidRDefault="003748C6" w:rsidP="0048412B">
      <w:pPr>
        <w:pStyle w:val="Flietext"/>
        <w:rPr>
          <w:lang w:val="en-US"/>
        </w:rPr>
      </w:pPr>
    </w:p>
    <w:p w14:paraId="1399B368" w14:textId="1C9E8697" w:rsidR="00554B1D" w:rsidRPr="00362D53" w:rsidRDefault="0048412B" w:rsidP="0048412B">
      <w:pPr>
        <w:pStyle w:val="Flietext"/>
        <w:rPr>
          <w:lang w:val="en-US"/>
        </w:rPr>
      </w:pPr>
      <w:r w:rsidRPr="00362D53">
        <w:rPr>
          <w:lang w:val="en-US"/>
        </w:rPr>
        <w:t>In addition, the modified design</w:t>
      </w:r>
      <w:r w:rsidRPr="00362D53">
        <w:rPr>
          <w:color w:val="FF0000"/>
          <w:lang w:val="en-US"/>
        </w:rPr>
        <w:t xml:space="preserve"> </w:t>
      </w:r>
      <w:r w:rsidRPr="00362D53">
        <w:rPr>
          <w:color w:val="auto"/>
          <w:lang w:val="en-US"/>
        </w:rPr>
        <w:t xml:space="preserve">of the Galaxie GS in size 190 (outer diameter 193 mm) </w:t>
      </w:r>
      <w:r w:rsidRPr="00362D53">
        <w:rPr>
          <w:lang w:val="en-US"/>
        </w:rPr>
        <w:t xml:space="preserve">permits </w:t>
      </w:r>
      <w:r w:rsidRPr="00362D53">
        <w:rPr>
          <w:color w:val="auto"/>
          <w:lang w:val="en-US"/>
        </w:rPr>
        <w:t xml:space="preserve">a large 75 mm hollow shaft, for example for feeding through cables, </w:t>
      </w:r>
      <w:proofErr w:type="gramStart"/>
      <w:r w:rsidRPr="00362D53">
        <w:rPr>
          <w:color w:val="auto"/>
          <w:lang w:val="en-US"/>
        </w:rPr>
        <w:t>hoses</w:t>
      </w:r>
      <w:proofErr w:type="gramEnd"/>
      <w:r w:rsidRPr="00362D53">
        <w:rPr>
          <w:color w:val="auto"/>
          <w:lang w:val="en-US"/>
        </w:rPr>
        <w:t xml:space="preserve"> or other types of connection</w:t>
      </w:r>
      <w:r w:rsidRPr="00362D53">
        <w:rPr>
          <w:lang w:val="en-US"/>
        </w:rPr>
        <w:t>.</w:t>
      </w:r>
      <w:r w:rsidRPr="00362D53">
        <w:rPr>
          <w:color w:val="auto"/>
          <w:lang w:val="en-US"/>
        </w:rPr>
        <w:t xml:space="preserve"> The sum of these and further design measures simultaneously results in higher power density, and the gearboxes and motor / gearbox combinations are</w:t>
      </w:r>
      <w:r w:rsidRPr="00362D53">
        <w:rPr>
          <w:lang w:val="en-US"/>
        </w:rPr>
        <w:t xml:space="preserve"> very lightweight and compact for their torque. Water cooling, which is likewise available as a standard option, allows the nominal speed of the gearbox to be increased by 120 percent in a thermally </w:t>
      </w:r>
      <w:r w:rsidRPr="00362D53">
        <w:rPr>
          <w:color w:val="auto"/>
          <w:lang w:val="en-US"/>
        </w:rPr>
        <w:t>stable way</w:t>
      </w:r>
      <w:r w:rsidRPr="00362D53">
        <w:rPr>
          <w:lang w:val="en-US"/>
        </w:rPr>
        <w:t xml:space="preserve">. </w:t>
      </w:r>
    </w:p>
    <w:p w14:paraId="15651007" w14:textId="77777777" w:rsidR="009C7114" w:rsidRDefault="009C7114" w:rsidP="0048412B">
      <w:pPr>
        <w:pStyle w:val="Flietext"/>
        <w:rPr>
          <w:rFonts w:asciiTheme="minorHAnsi" w:hAnsiTheme="minorHAnsi" w:cstheme="minorHAnsi"/>
          <w:lang w:val="en-US"/>
        </w:rPr>
      </w:pPr>
    </w:p>
    <w:p w14:paraId="4D516471" w14:textId="77777777" w:rsidR="007B7A9A" w:rsidRPr="00362D53" w:rsidRDefault="007B7A9A" w:rsidP="0048412B">
      <w:pPr>
        <w:pStyle w:val="Flietext"/>
        <w:rPr>
          <w:rFonts w:asciiTheme="minorHAnsi" w:hAnsiTheme="minorHAnsi" w:cstheme="minorHAnsi"/>
          <w:lang w:val="en-US"/>
        </w:rPr>
      </w:pPr>
    </w:p>
    <w:p w14:paraId="525CB54D" w14:textId="49A42A95" w:rsidR="009C7114" w:rsidRPr="00362D53" w:rsidRDefault="00554B1D" w:rsidP="00DC5E12">
      <w:pPr>
        <w:pStyle w:val="Flietext"/>
        <w:rPr>
          <w:b/>
          <w:bCs/>
          <w:lang w:val="en-US"/>
        </w:rPr>
      </w:pPr>
      <w:r w:rsidRPr="00362D53">
        <w:rPr>
          <w:b/>
          <w:lang w:val="en-US"/>
        </w:rPr>
        <w:lastRenderedPageBreak/>
        <w:t>Miniaturized variants available</w:t>
      </w:r>
    </w:p>
    <w:p w14:paraId="41BAA04C" w14:textId="77777777" w:rsidR="003748C6" w:rsidRPr="00362D53" w:rsidRDefault="003748C6" w:rsidP="00DC5E12">
      <w:pPr>
        <w:pStyle w:val="Flietext"/>
        <w:rPr>
          <w:lang w:val="en-US"/>
        </w:rPr>
      </w:pPr>
    </w:p>
    <w:p w14:paraId="6C911870" w14:textId="3036CF47" w:rsidR="00834396" w:rsidRPr="00362D53" w:rsidRDefault="00834396" w:rsidP="00DC5E12">
      <w:pPr>
        <w:pStyle w:val="Flietext"/>
        <w:rPr>
          <w:lang w:val="en-US"/>
        </w:rPr>
      </w:pPr>
      <w:r w:rsidRPr="00362D53">
        <w:rPr>
          <w:lang w:val="en-US"/>
        </w:rPr>
        <w:t>The Galaxie</w:t>
      </w:r>
      <w:r w:rsidRPr="00362D53">
        <w:rPr>
          <w:vertAlign w:val="superscript"/>
          <w:lang w:val="en-US"/>
        </w:rPr>
        <w:t>®</w:t>
      </w:r>
      <w:r w:rsidRPr="00362D53">
        <w:rPr>
          <w:lang w:val="en-US"/>
        </w:rPr>
        <w:t xml:space="preserve"> accuracy line series also includes two miniaturized product variants that are installation-compatible with strain wave gearboxes in terms of size. These miniaturized Galaxie</w:t>
      </w:r>
      <w:r w:rsidRPr="00362D53">
        <w:rPr>
          <w:vertAlign w:val="superscript"/>
          <w:lang w:val="en-US"/>
        </w:rPr>
        <w:t>®</w:t>
      </w:r>
      <w:r w:rsidRPr="00362D53">
        <w:rPr>
          <w:lang w:val="en-US"/>
        </w:rPr>
        <w:t xml:space="preserve"> variants offer the highest rigidity, torque density and overload capacity as well as true zero backlash over the entire lifetime. Their hollow shaft is moreover significantly larger than with identically sized strain wave gearboxes. Miniaturized Galaxie</w:t>
      </w:r>
      <w:r w:rsidRPr="00362D53">
        <w:rPr>
          <w:vertAlign w:val="superscript"/>
          <w:lang w:val="en-US"/>
        </w:rPr>
        <w:t>®</w:t>
      </w:r>
      <w:r w:rsidRPr="00362D53">
        <w:rPr>
          <w:lang w:val="en-US"/>
        </w:rPr>
        <w:t xml:space="preserve"> accuracy line gearboxes are targeted at applications in medical and precision robotics, semiconductor and wafer handling systems and high-end machine tools.</w:t>
      </w:r>
    </w:p>
    <w:p w14:paraId="6D06A03B" w14:textId="77777777" w:rsidR="00F542E0" w:rsidRPr="00362D53" w:rsidRDefault="00F542E0" w:rsidP="00DC5E12">
      <w:pPr>
        <w:pStyle w:val="Flietext"/>
        <w:rPr>
          <w:lang w:val="en-US"/>
        </w:rPr>
      </w:pPr>
    </w:p>
    <w:p w14:paraId="35D6DD9B" w14:textId="77777777" w:rsidR="00F542E0" w:rsidRPr="00362D53" w:rsidRDefault="00F542E0" w:rsidP="00FB05B0">
      <w:pPr>
        <w:pStyle w:val="Flietext"/>
        <w:rPr>
          <w:b/>
          <w:bCs/>
          <w:color w:val="auto"/>
          <w:lang w:val="en-US"/>
        </w:rPr>
      </w:pPr>
      <w:r w:rsidRPr="00362D53">
        <w:rPr>
          <w:b/>
          <w:color w:val="auto"/>
          <w:lang w:val="en-US"/>
        </w:rPr>
        <w:t>Galaxie</w:t>
      </w:r>
      <w:r w:rsidRPr="00362D53">
        <w:rPr>
          <w:b/>
          <w:color w:val="auto"/>
          <w:vertAlign w:val="superscript"/>
          <w:lang w:val="en-US"/>
        </w:rPr>
        <w:t>®</w:t>
      </w:r>
      <w:r w:rsidRPr="00362D53">
        <w:rPr>
          <w:b/>
          <w:color w:val="auto"/>
          <w:lang w:val="en-US"/>
        </w:rPr>
        <w:t xml:space="preserve"> GS 190 gearbox in INDEX ABC turning machines – successful market </w:t>
      </w:r>
      <w:proofErr w:type="gramStart"/>
      <w:r w:rsidRPr="00362D53">
        <w:rPr>
          <w:b/>
          <w:color w:val="auto"/>
          <w:lang w:val="en-US"/>
        </w:rPr>
        <w:t>launch</w:t>
      </w:r>
      <w:proofErr w:type="gramEnd"/>
    </w:p>
    <w:p w14:paraId="0F004759" w14:textId="77777777" w:rsidR="00F542E0" w:rsidRPr="00362D53" w:rsidRDefault="00F542E0" w:rsidP="00F542E0">
      <w:pPr>
        <w:rPr>
          <w:b/>
          <w:bCs/>
          <w:lang w:val="en-US"/>
        </w:rPr>
      </w:pPr>
    </w:p>
    <w:p w14:paraId="18BDD21D" w14:textId="75B5675D" w:rsidR="00F542E0" w:rsidRPr="00362D53" w:rsidRDefault="00F542E0" w:rsidP="00F542E0">
      <w:pPr>
        <w:rPr>
          <w:rFonts w:ascii="Arial" w:hAnsi="Arial" w:cs="Arial"/>
          <w:color w:val="000000"/>
          <w:spacing w:val="10"/>
          <w:sz w:val="20"/>
          <w:szCs w:val="20"/>
          <w:lang w:val="en-US"/>
        </w:rPr>
      </w:pPr>
      <w:r w:rsidRPr="00362D53">
        <w:rPr>
          <w:rFonts w:ascii="Arial" w:hAnsi="Arial"/>
          <w:color w:val="000000"/>
          <w:sz w:val="20"/>
          <w:lang w:val="en-US"/>
        </w:rPr>
        <w:t>The compact Galaxie</w:t>
      </w:r>
      <w:r w:rsidRPr="00362D53">
        <w:rPr>
          <w:rFonts w:ascii="Arial" w:hAnsi="Arial"/>
          <w:color w:val="000000"/>
          <w:sz w:val="20"/>
          <w:vertAlign w:val="superscript"/>
          <w:lang w:val="en-US"/>
        </w:rPr>
        <w:t>®</w:t>
      </w:r>
      <w:r w:rsidRPr="00362D53">
        <w:rPr>
          <w:rFonts w:ascii="Arial" w:hAnsi="Arial"/>
          <w:color w:val="000000"/>
          <w:sz w:val="20"/>
          <w:lang w:val="en-US"/>
        </w:rPr>
        <w:t xml:space="preserve"> GS 190 gearbox in the newly developed Galaxie</w:t>
      </w:r>
      <w:r w:rsidRPr="00362D53">
        <w:rPr>
          <w:rFonts w:ascii="Arial" w:hAnsi="Arial"/>
          <w:color w:val="000000"/>
          <w:sz w:val="20"/>
          <w:vertAlign w:val="superscript"/>
          <w:lang w:val="en-US"/>
        </w:rPr>
        <w:t>®</w:t>
      </w:r>
      <w:r w:rsidRPr="00362D53">
        <w:rPr>
          <w:rFonts w:ascii="Arial" w:hAnsi="Arial"/>
          <w:color w:val="000000"/>
          <w:sz w:val="20"/>
          <w:lang w:val="en-US"/>
        </w:rPr>
        <w:t xml:space="preserve"> accuracy line series was successfully integrated into the INDEX ABC turning machine’s turret axis in preparation for a strong market launch. “True freedom from backlash, the highest rigidity, excellent synchronization properties and the large hollow shaft for feeding through the tool drive add up to an extremely </w:t>
      </w:r>
      <w:proofErr w:type="spellStart"/>
      <w:r w:rsidRPr="00362D53">
        <w:rPr>
          <w:rFonts w:ascii="Arial" w:hAnsi="Arial"/>
          <w:color w:val="000000"/>
          <w:sz w:val="20"/>
          <w:lang w:val="en-US"/>
        </w:rPr>
        <w:t>torsionally</w:t>
      </w:r>
      <w:proofErr w:type="spellEnd"/>
      <w:r w:rsidRPr="00362D53">
        <w:rPr>
          <w:rFonts w:ascii="Arial" w:hAnsi="Arial"/>
          <w:color w:val="000000"/>
          <w:sz w:val="20"/>
          <w:lang w:val="en-US"/>
        </w:rPr>
        <w:t xml:space="preserve"> rigid, high-precision gearbox solution in the upper turret”, Jakob Friedrich, a development engineer at INDEX-Werke GmbH &amp; Co. KG Hahn &amp; </w:t>
      </w:r>
      <w:proofErr w:type="spellStart"/>
      <w:r w:rsidRPr="00362D53">
        <w:rPr>
          <w:rFonts w:ascii="Arial" w:hAnsi="Arial"/>
          <w:color w:val="000000"/>
          <w:sz w:val="20"/>
          <w:lang w:val="en-US"/>
        </w:rPr>
        <w:t>Tessky</w:t>
      </w:r>
      <w:proofErr w:type="spellEnd"/>
      <w:r w:rsidRPr="00362D53">
        <w:rPr>
          <w:rFonts w:ascii="Arial" w:hAnsi="Arial"/>
          <w:color w:val="000000"/>
          <w:sz w:val="20"/>
          <w:lang w:val="en-US"/>
        </w:rPr>
        <w:t xml:space="preserve"> in Esslingen, confirms. “We’re now able to position the upper turret </w:t>
      </w:r>
      <w:proofErr w:type="spellStart"/>
      <w:r w:rsidRPr="00362D53">
        <w:rPr>
          <w:rFonts w:ascii="Arial" w:hAnsi="Arial"/>
          <w:color w:val="000000"/>
          <w:sz w:val="20"/>
          <w:lang w:val="en-US"/>
        </w:rPr>
        <w:t>steplessly</w:t>
      </w:r>
      <w:proofErr w:type="spellEnd"/>
      <w:r w:rsidRPr="00362D53">
        <w:rPr>
          <w:rFonts w:ascii="Arial" w:hAnsi="Arial"/>
          <w:color w:val="000000"/>
          <w:sz w:val="20"/>
          <w:lang w:val="en-US"/>
        </w:rPr>
        <w:t xml:space="preserve"> and very precisely, and we can machine workpieces interpolating in multiple axes. That wasn’t the case with </w:t>
      </w:r>
      <w:proofErr w:type="spellStart"/>
      <w:r w:rsidRPr="00362D53">
        <w:rPr>
          <w:rFonts w:ascii="Arial" w:hAnsi="Arial"/>
          <w:color w:val="000000"/>
          <w:sz w:val="20"/>
          <w:lang w:val="en-US"/>
        </w:rPr>
        <w:t>Hirth</w:t>
      </w:r>
      <w:proofErr w:type="spellEnd"/>
      <w:r w:rsidRPr="00362D53">
        <w:rPr>
          <w:rFonts w:ascii="Arial" w:hAnsi="Arial"/>
          <w:color w:val="000000"/>
          <w:sz w:val="20"/>
          <w:lang w:val="en-US"/>
        </w:rPr>
        <w:t xml:space="preserve"> couplings and hydraulic clamping. Those have both been completely dispensed with in the new turning machine – the present solution with Galaxie</w:t>
      </w:r>
      <w:r w:rsidRPr="00362D53">
        <w:rPr>
          <w:rFonts w:ascii="Arial" w:hAnsi="Arial"/>
          <w:color w:val="000000"/>
          <w:sz w:val="20"/>
          <w:vertAlign w:val="superscript"/>
          <w:lang w:val="en-US"/>
        </w:rPr>
        <w:t>®</w:t>
      </w:r>
      <w:r w:rsidRPr="00362D53">
        <w:rPr>
          <w:rFonts w:ascii="Arial" w:hAnsi="Arial"/>
          <w:color w:val="000000"/>
          <w:sz w:val="20"/>
          <w:lang w:val="en-US"/>
        </w:rPr>
        <w:t xml:space="preserve"> means an even wider range of components can be machined with the new INDEX ABC.”</w:t>
      </w:r>
    </w:p>
    <w:p w14:paraId="0A8C256B" w14:textId="77777777" w:rsidR="00F542E0" w:rsidRPr="00362D53" w:rsidRDefault="00F542E0" w:rsidP="00DC5E12">
      <w:pPr>
        <w:pStyle w:val="Flietext"/>
        <w:rPr>
          <w:lang w:val="en-US"/>
        </w:rPr>
      </w:pPr>
    </w:p>
    <w:p w14:paraId="7FEBB46E" w14:textId="77777777" w:rsidR="003748C6" w:rsidRPr="00362D53" w:rsidRDefault="003748C6" w:rsidP="00DC5E12">
      <w:pPr>
        <w:pStyle w:val="Flietext"/>
        <w:rPr>
          <w:lang w:val="en-US"/>
        </w:rPr>
      </w:pPr>
    </w:p>
    <w:p w14:paraId="2219F9D8" w14:textId="77777777" w:rsidR="00F542E0" w:rsidRPr="00362D53" w:rsidRDefault="00F542E0" w:rsidP="00DC5E12">
      <w:pPr>
        <w:pStyle w:val="Flietext"/>
        <w:rPr>
          <w:b/>
          <w:bCs/>
          <w:lang w:val="en-US"/>
        </w:rPr>
      </w:pPr>
    </w:p>
    <w:p w14:paraId="5B68174D" w14:textId="06CDD967" w:rsidR="0012195A" w:rsidRPr="00362D53" w:rsidRDefault="008F5F99" w:rsidP="00DC5E12">
      <w:pPr>
        <w:pStyle w:val="Flietext"/>
        <w:rPr>
          <w:b/>
          <w:bCs/>
          <w:lang w:val="en-US"/>
        </w:rPr>
      </w:pPr>
      <w:r w:rsidRPr="00362D53">
        <w:rPr>
          <w:b/>
          <w:lang w:val="en-US"/>
        </w:rPr>
        <w:t>Pictures (source: WITTENSTEIN SE)</w:t>
      </w:r>
    </w:p>
    <w:p w14:paraId="4BD2E814" w14:textId="77777777" w:rsidR="003748C6" w:rsidRPr="00362D53" w:rsidRDefault="003748C6" w:rsidP="00DC5E12">
      <w:pPr>
        <w:pStyle w:val="Flietext"/>
        <w:rPr>
          <w:b/>
          <w:bCs/>
          <w:lang w:val="en-US"/>
        </w:rPr>
      </w:pPr>
    </w:p>
    <w:p w14:paraId="683E01D4" w14:textId="2A93DE7A" w:rsidR="00F542E0" w:rsidRPr="00362D53" w:rsidRDefault="003748C6" w:rsidP="00DC5E12">
      <w:pPr>
        <w:pStyle w:val="Flietext"/>
        <w:rPr>
          <w:b/>
          <w:bCs/>
          <w:lang w:val="en-US"/>
        </w:rPr>
      </w:pPr>
      <w:r w:rsidRPr="00362D53">
        <w:rPr>
          <w:b/>
          <w:noProof/>
          <w:lang w:val="en-US" w:eastAsia="de-DE"/>
        </w:rPr>
        <w:drawing>
          <wp:anchor distT="0" distB="0" distL="114300" distR="114300" simplePos="0" relativeHeight="251658240" behindDoc="1" locked="0" layoutInCell="1" allowOverlap="1" wp14:anchorId="7AE1B670" wp14:editId="6C6D38C6">
            <wp:simplePos x="0" y="0"/>
            <wp:positionH relativeFrom="margin">
              <wp:posOffset>42545</wp:posOffset>
            </wp:positionH>
            <wp:positionV relativeFrom="paragraph">
              <wp:posOffset>41910</wp:posOffset>
            </wp:positionV>
            <wp:extent cx="1388745" cy="971550"/>
            <wp:effectExtent l="0" t="0" r="1905" b="0"/>
            <wp:wrapTight wrapText="bothSides">
              <wp:wrapPolygon edited="0">
                <wp:start x="0" y="0"/>
                <wp:lineTo x="0" y="21176"/>
                <wp:lineTo x="21333" y="21176"/>
                <wp:lineTo x="2133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8745" cy="971550"/>
                    </a:xfrm>
                    <a:prstGeom prst="rect">
                      <a:avLst/>
                    </a:prstGeom>
                  </pic:spPr>
                </pic:pic>
              </a:graphicData>
            </a:graphic>
            <wp14:sizeRelH relativeFrom="margin">
              <wp14:pctWidth>0</wp14:pctWidth>
            </wp14:sizeRelH>
            <wp14:sizeRelV relativeFrom="margin">
              <wp14:pctHeight>0</wp14:pctHeight>
            </wp14:sizeRelV>
          </wp:anchor>
        </w:drawing>
      </w:r>
    </w:p>
    <w:p w14:paraId="7DBAB33F" w14:textId="30FF7507" w:rsidR="00F542E0" w:rsidRPr="00362D53" w:rsidRDefault="00F542E0" w:rsidP="00DC5E12">
      <w:pPr>
        <w:pStyle w:val="Flietext"/>
        <w:rPr>
          <w:b/>
          <w:bCs/>
          <w:lang w:val="en-US"/>
        </w:rPr>
      </w:pPr>
    </w:p>
    <w:p w14:paraId="0D795DB8" w14:textId="38BFA118" w:rsidR="0012195A" w:rsidRPr="00362D53" w:rsidRDefault="0012195A" w:rsidP="00DC5E12">
      <w:pPr>
        <w:pStyle w:val="Flietext"/>
        <w:rPr>
          <w:b/>
          <w:bCs/>
          <w:lang w:val="en-US"/>
        </w:rPr>
      </w:pPr>
    </w:p>
    <w:p w14:paraId="1A6A7FC1" w14:textId="77777777" w:rsidR="0012195A" w:rsidRPr="00362D53" w:rsidRDefault="0012195A" w:rsidP="00DC5E12">
      <w:pPr>
        <w:pStyle w:val="Flietext"/>
        <w:rPr>
          <w:b/>
          <w:bCs/>
          <w:lang w:val="en-US"/>
        </w:rPr>
      </w:pPr>
    </w:p>
    <w:p w14:paraId="1A34D534" w14:textId="77777777" w:rsidR="0012195A" w:rsidRPr="00362D53" w:rsidRDefault="0012195A" w:rsidP="00DC5E12">
      <w:pPr>
        <w:pStyle w:val="Flietext"/>
        <w:rPr>
          <w:b/>
          <w:bCs/>
          <w:lang w:val="en-US"/>
        </w:rPr>
      </w:pPr>
    </w:p>
    <w:p w14:paraId="597D99B5" w14:textId="096F98AD" w:rsidR="0012195A" w:rsidRPr="00362D53" w:rsidRDefault="0012195A" w:rsidP="0012195A">
      <w:pPr>
        <w:pStyle w:val="Flietext"/>
        <w:numPr>
          <w:ilvl w:val="0"/>
          <w:numId w:val="29"/>
        </w:numPr>
        <w:rPr>
          <w:b/>
          <w:bCs/>
          <w:sz w:val="18"/>
          <w:szCs w:val="18"/>
          <w:lang w:val="en-US"/>
        </w:rPr>
      </w:pPr>
      <w:proofErr w:type="spellStart"/>
      <w:r w:rsidRPr="00362D53">
        <w:rPr>
          <w:b/>
          <w:sz w:val="18"/>
          <w:lang w:val="en-US"/>
        </w:rPr>
        <w:t>wittenstein</w:t>
      </w:r>
      <w:proofErr w:type="spellEnd"/>
      <w:r w:rsidRPr="00362D53">
        <w:rPr>
          <w:b/>
          <w:sz w:val="18"/>
          <w:lang w:val="en-US"/>
        </w:rPr>
        <w:t>-galaxie-product-</w:t>
      </w:r>
      <w:proofErr w:type="spellStart"/>
      <w:r w:rsidRPr="00362D53">
        <w:rPr>
          <w:b/>
          <w:sz w:val="18"/>
          <w:lang w:val="en-US"/>
        </w:rPr>
        <w:t>familiy</w:t>
      </w:r>
      <w:proofErr w:type="spellEnd"/>
      <w:r w:rsidRPr="00362D53">
        <w:rPr>
          <w:b/>
          <w:sz w:val="18"/>
          <w:lang w:val="en-US"/>
        </w:rPr>
        <w:t>-accuracy-line</w:t>
      </w:r>
    </w:p>
    <w:p w14:paraId="694CCE94" w14:textId="72D977A9" w:rsidR="0012195A" w:rsidRPr="00362D53" w:rsidRDefault="0012195A" w:rsidP="0012195A">
      <w:pPr>
        <w:pStyle w:val="Flietext"/>
        <w:ind w:left="360"/>
        <w:rPr>
          <w:sz w:val="18"/>
          <w:szCs w:val="18"/>
          <w:lang w:val="en-US"/>
        </w:rPr>
      </w:pPr>
      <w:r w:rsidRPr="00362D53">
        <w:rPr>
          <w:sz w:val="18"/>
          <w:lang w:val="en-US"/>
        </w:rPr>
        <w:t>The new Galaxie</w:t>
      </w:r>
      <w:r w:rsidRPr="00362D53">
        <w:rPr>
          <w:sz w:val="18"/>
          <w:vertAlign w:val="superscript"/>
          <w:lang w:val="en-US"/>
        </w:rPr>
        <w:t>®</w:t>
      </w:r>
      <w:r w:rsidRPr="00362D53">
        <w:rPr>
          <w:sz w:val="18"/>
          <w:lang w:val="en-US"/>
        </w:rPr>
        <w:t xml:space="preserve"> gearbox series with 4 product variants: the Galaxie</w:t>
      </w:r>
      <w:r w:rsidRPr="00362D53">
        <w:rPr>
          <w:sz w:val="18"/>
          <w:vertAlign w:val="superscript"/>
          <w:lang w:val="en-US"/>
        </w:rPr>
        <w:t>®</w:t>
      </w:r>
      <w:r w:rsidRPr="00362D53">
        <w:rPr>
          <w:sz w:val="18"/>
          <w:lang w:val="en-US"/>
        </w:rPr>
        <w:t xml:space="preserve"> accuracy line </w:t>
      </w:r>
    </w:p>
    <w:p w14:paraId="5EBFA765" w14:textId="77777777" w:rsidR="00A153E8" w:rsidRPr="00362D53" w:rsidRDefault="00A153E8" w:rsidP="0012195A">
      <w:pPr>
        <w:pStyle w:val="Flietext"/>
        <w:ind w:left="360"/>
        <w:rPr>
          <w:sz w:val="18"/>
          <w:szCs w:val="18"/>
          <w:lang w:val="en-US"/>
        </w:rPr>
      </w:pPr>
    </w:p>
    <w:p w14:paraId="7B1202AB" w14:textId="51F7B15E" w:rsidR="0012195A" w:rsidRPr="00362D53" w:rsidRDefault="0012195A" w:rsidP="0012195A">
      <w:pPr>
        <w:pStyle w:val="Flietext"/>
        <w:rPr>
          <w:b/>
          <w:bCs/>
          <w:sz w:val="18"/>
          <w:szCs w:val="18"/>
          <w:lang w:val="en-US"/>
        </w:rPr>
      </w:pPr>
    </w:p>
    <w:p w14:paraId="73675914" w14:textId="265C31AD" w:rsidR="0012195A" w:rsidRPr="00362D53" w:rsidRDefault="00E55EFF" w:rsidP="0012195A">
      <w:pPr>
        <w:pStyle w:val="Flietext"/>
        <w:rPr>
          <w:b/>
          <w:bCs/>
          <w:sz w:val="18"/>
          <w:szCs w:val="18"/>
          <w:lang w:val="en-US"/>
        </w:rPr>
      </w:pPr>
      <w:r w:rsidRPr="00362D53">
        <w:rPr>
          <w:noProof/>
          <w:sz w:val="18"/>
          <w:lang w:val="en-US" w:eastAsia="de-DE"/>
        </w:rPr>
        <w:lastRenderedPageBreak/>
        <w:drawing>
          <wp:anchor distT="0" distB="0" distL="114300" distR="114300" simplePos="0" relativeHeight="251659264" behindDoc="1" locked="0" layoutInCell="1" allowOverlap="1" wp14:anchorId="614E7B45" wp14:editId="01B6608C">
            <wp:simplePos x="0" y="0"/>
            <wp:positionH relativeFrom="margin">
              <wp:posOffset>-38116</wp:posOffset>
            </wp:positionH>
            <wp:positionV relativeFrom="paragraph">
              <wp:posOffset>140</wp:posOffset>
            </wp:positionV>
            <wp:extent cx="1718840" cy="1202855"/>
            <wp:effectExtent l="0" t="0" r="0" b="0"/>
            <wp:wrapTight wrapText="bothSides">
              <wp:wrapPolygon edited="0">
                <wp:start x="0" y="0"/>
                <wp:lineTo x="0" y="21212"/>
                <wp:lineTo x="21313" y="21212"/>
                <wp:lineTo x="21313" y="0"/>
                <wp:lineTo x="0" y="0"/>
              </wp:wrapPolygon>
            </wp:wrapTight>
            <wp:docPr id="10" name="Grafik 10" descr="Ein Bild, das Autoteile, Kreis, Zahnrad,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Autoteile, Kreis, Zahnrad, Desig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48370" cy="1223520"/>
                    </a:xfrm>
                    <a:prstGeom prst="rect">
                      <a:avLst/>
                    </a:prstGeom>
                  </pic:spPr>
                </pic:pic>
              </a:graphicData>
            </a:graphic>
            <wp14:sizeRelH relativeFrom="margin">
              <wp14:pctWidth>0</wp14:pctWidth>
            </wp14:sizeRelH>
            <wp14:sizeRelV relativeFrom="margin">
              <wp14:pctHeight>0</wp14:pctHeight>
            </wp14:sizeRelV>
          </wp:anchor>
        </w:drawing>
      </w:r>
    </w:p>
    <w:p w14:paraId="711DEFCE" w14:textId="2F6FF8E3" w:rsidR="0012195A" w:rsidRPr="00362D53" w:rsidRDefault="0012195A" w:rsidP="0012195A">
      <w:pPr>
        <w:pStyle w:val="Flietext"/>
        <w:numPr>
          <w:ilvl w:val="0"/>
          <w:numId w:val="29"/>
        </w:numPr>
        <w:rPr>
          <w:b/>
          <w:bCs/>
          <w:sz w:val="18"/>
          <w:szCs w:val="18"/>
          <w:lang w:val="en-US"/>
        </w:rPr>
      </w:pPr>
      <w:proofErr w:type="spellStart"/>
      <w:r w:rsidRPr="00362D53">
        <w:rPr>
          <w:b/>
          <w:sz w:val="18"/>
          <w:lang w:val="en-US"/>
        </w:rPr>
        <w:t>wittenstein</w:t>
      </w:r>
      <w:proofErr w:type="spellEnd"/>
      <w:r w:rsidRPr="00362D53">
        <w:rPr>
          <w:b/>
          <w:sz w:val="18"/>
          <w:lang w:val="en-US"/>
        </w:rPr>
        <w:t>-galaxie-</w:t>
      </w:r>
      <w:proofErr w:type="spellStart"/>
      <w:r w:rsidRPr="00362D53">
        <w:rPr>
          <w:b/>
          <w:sz w:val="18"/>
          <w:lang w:val="en-US"/>
        </w:rPr>
        <w:t>gs</w:t>
      </w:r>
      <w:proofErr w:type="spellEnd"/>
    </w:p>
    <w:p w14:paraId="68DC2EAB" w14:textId="7D917ED2" w:rsidR="00F56426" w:rsidRPr="00362D53" w:rsidRDefault="002A52F2" w:rsidP="00F56426">
      <w:pPr>
        <w:pStyle w:val="Flietext"/>
        <w:ind w:left="360"/>
        <w:rPr>
          <w:color w:val="auto"/>
          <w:sz w:val="18"/>
          <w:szCs w:val="18"/>
          <w:lang w:val="en-US"/>
        </w:rPr>
      </w:pPr>
      <w:r w:rsidRPr="00362D53">
        <w:rPr>
          <w:color w:val="auto"/>
          <w:sz w:val="18"/>
          <w:lang w:val="en-US"/>
        </w:rPr>
        <w:t>The Galaxie accuracy line GS hollow-shaft gearbox in size 190 (outer diameter 193 mm)</w:t>
      </w:r>
      <w:r w:rsidRPr="00362D53">
        <w:rPr>
          <w:sz w:val="18"/>
          <w:lang w:val="en-US"/>
        </w:rPr>
        <w:t xml:space="preserve"> features</w:t>
      </w:r>
      <w:r w:rsidRPr="00362D53">
        <w:rPr>
          <w:color w:val="FF0000"/>
          <w:sz w:val="18"/>
          <w:lang w:val="en-US"/>
        </w:rPr>
        <w:t xml:space="preserve"> </w:t>
      </w:r>
      <w:r w:rsidRPr="00362D53">
        <w:rPr>
          <w:color w:val="auto"/>
          <w:sz w:val="18"/>
          <w:lang w:val="en-US"/>
        </w:rPr>
        <w:t xml:space="preserve">a large 75 mm hollow shaft, for example for feeding through cables, </w:t>
      </w:r>
      <w:proofErr w:type="gramStart"/>
      <w:r w:rsidRPr="00362D53">
        <w:rPr>
          <w:color w:val="auto"/>
          <w:sz w:val="18"/>
          <w:lang w:val="en-US"/>
        </w:rPr>
        <w:t>hoses</w:t>
      </w:r>
      <w:proofErr w:type="gramEnd"/>
      <w:r w:rsidRPr="00362D53">
        <w:rPr>
          <w:color w:val="auto"/>
          <w:sz w:val="18"/>
          <w:lang w:val="en-US"/>
        </w:rPr>
        <w:t xml:space="preserve"> or other types of connection.</w:t>
      </w:r>
    </w:p>
    <w:p w14:paraId="3EEB3B8C" w14:textId="1C474E13" w:rsidR="0012195A" w:rsidRPr="00362D53" w:rsidRDefault="0012195A" w:rsidP="00DC5E12">
      <w:pPr>
        <w:pStyle w:val="Flietext"/>
        <w:rPr>
          <w:lang w:val="en-US"/>
        </w:rPr>
      </w:pPr>
    </w:p>
    <w:p w14:paraId="2ABB29A1" w14:textId="77777777" w:rsidR="0093418D" w:rsidRPr="00362D53" w:rsidRDefault="0093418D" w:rsidP="00DC5E12">
      <w:pPr>
        <w:pStyle w:val="Flietext"/>
        <w:rPr>
          <w:lang w:val="en-US"/>
        </w:rPr>
      </w:pPr>
    </w:p>
    <w:p w14:paraId="6938DAAE" w14:textId="3F19E702" w:rsidR="0093418D" w:rsidRPr="00362D53" w:rsidRDefault="0010111B" w:rsidP="00DC5E12">
      <w:pPr>
        <w:pStyle w:val="Flietext"/>
        <w:rPr>
          <w:rStyle w:val="Hyperlink"/>
          <w:sz w:val="18"/>
          <w:lang w:val="en-US"/>
        </w:rPr>
      </w:pPr>
      <w:r w:rsidRPr="00362D53">
        <w:rPr>
          <w:sz w:val="18"/>
          <w:lang w:val="en-US"/>
        </w:rPr>
        <w:t xml:space="preserve">Texts and photographs in printable quality can be downloaded from </w:t>
      </w:r>
      <w:r w:rsidR="00093A75" w:rsidRPr="00362D53">
        <w:rPr>
          <w:sz w:val="18"/>
          <w:lang w:val="en-US"/>
        </w:rPr>
        <w:fldChar w:fldCharType="begin"/>
      </w:r>
      <w:r w:rsidR="00093A75" w:rsidRPr="00362D53">
        <w:rPr>
          <w:sz w:val="18"/>
          <w:lang w:val="en-US"/>
        </w:rPr>
        <w:instrText xml:space="preserve"> HYPERLINK "https://www.wittenstein.de/en-en/company/press/" </w:instrText>
      </w:r>
      <w:r w:rsidR="00093A75" w:rsidRPr="00362D53">
        <w:rPr>
          <w:sz w:val="18"/>
          <w:lang w:val="en-US"/>
        </w:rPr>
      </w:r>
      <w:r w:rsidR="00093A75" w:rsidRPr="00362D53">
        <w:rPr>
          <w:sz w:val="18"/>
          <w:lang w:val="en-US"/>
        </w:rPr>
        <w:fldChar w:fldCharType="separate"/>
      </w:r>
      <w:r w:rsidRPr="00362D53">
        <w:rPr>
          <w:rStyle w:val="Hyperlink"/>
          <w:sz w:val="18"/>
          <w:lang w:val="en-US"/>
        </w:rPr>
        <w:t>presse.wittenstein.de</w:t>
      </w:r>
    </w:p>
    <w:p w14:paraId="452A3335" w14:textId="7E80881A" w:rsidR="0093418D" w:rsidRPr="00362D53" w:rsidRDefault="00093A75" w:rsidP="00DC5E12">
      <w:pPr>
        <w:pStyle w:val="Flietext"/>
        <w:rPr>
          <w:sz w:val="18"/>
          <w:lang w:val="en-US"/>
        </w:rPr>
      </w:pPr>
      <w:r w:rsidRPr="00362D53">
        <w:rPr>
          <w:sz w:val="18"/>
          <w:lang w:val="en-US"/>
        </w:rPr>
        <w:fldChar w:fldCharType="end"/>
      </w:r>
    </w:p>
    <w:p w14:paraId="7EFB449A" w14:textId="07345EA0" w:rsidR="0093418D" w:rsidRPr="00362D53" w:rsidRDefault="0093418D" w:rsidP="00DC5E12">
      <w:pPr>
        <w:pStyle w:val="Flietext"/>
        <w:rPr>
          <w:sz w:val="18"/>
          <w:szCs w:val="18"/>
          <w:lang w:val="en-US"/>
        </w:rPr>
      </w:pPr>
    </w:p>
    <w:p w14:paraId="0883CBAC" w14:textId="377DC074" w:rsidR="00D20BF8" w:rsidRPr="00362D53" w:rsidRDefault="00F60746" w:rsidP="00D20BF8">
      <w:pPr>
        <w:pStyle w:val="boilerplate"/>
        <w:rPr>
          <w:b/>
          <w:lang w:val="en-US"/>
        </w:rPr>
      </w:pPr>
      <w:r w:rsidRPr="00362D53">
        <w:rPr>
          <w:b/>
          <w:lang w:val="en-US"/>
        </w:rPr>
        <w:t>WITTENSTEIN – one with the future</w:t>
      </w:r>
    </w:p>
    <w:p w14:paraId="2BFF61A8" w14:textId="632C4ED8" w:rsidR="002B17FE" w:rsidRPr="00362D53" w:rsidRDefault="007E5945" w:rsidP="009C7114">
      <w:pPr>
        <w:spacing w:line="360" w:lineRule="auto"/>
        <w:rPr>
          <w:lang w:val="en-US"/>
        </w:rPr>
      </w:pPr>
      <w:r w:rsidRPr="00362D53">
        <w:rPr>
          <w:rFonts w:ascii="Arial" w:hAnsi="Arial"/>
          <w:sz w:val="16"/>
          <w:lang w:val="en-US"/>
        </w:rPr>
        <w:t xml:space="preserve">With around 2900 employees worldwide and sales of €519 million in 2022/23, WITTENSTEIN SE enjoys an impeccable reputation for innovation, </w:t>
      </w:r>
      <w:proofErr w:type="gramStart"/>
      <w:r w:rsidRPr="00362D53">
        <w:rPr>
          <w:rFonts w:ascii="Arial" w:hAnsi="Arial"/>
          <w:sz w:val="16"/>
          <w:lang w:val="en-US"/>
        </w:rPr>
        <w:t>precision</w:t>
      </w:r>
      <w:proofErr w:type="gramEnd"/>
      <w:r w:rsidRPr="00362D53">
        <w:rPr>
          <w:rFonts w:ascii="Arial" w:hAnsi="Arial"/>
          <w:sz w:val="16"/>
          <w:lang w:val="en-US"/>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w:t>
      </w:r>
      <w:proofErr w:type="gramStart"/>
      <w:r w:rsidRPr="00362D53">
        <w:rPr>
          <w:rFonts w:ascii="Arial" w:hAnsi="Arial"/>
          <w:sz w:val="16"/>
          <w:lang w:val="en-US"/>
        </w:rPr>
        <w:t>produce</w:t>
      </w:r>
      <w:proofErr w:type="gramEnd"/>
      <w:r w:rsidRPr="00362D53">
        <w:rPr>
          <w:rFonts w:ascii="Arial" w:hAnsi="Arial"/>
          <w:sz w:val="16"/>
          <w:lang w:val="en-US"/>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362D53" w:rsidSect="00E55EFF">
      <w:headerReference w:type="default" r:id="rId14"/>
      <w:footerReference w:type="default" r:id="rId15"/>
      <w:headerReference w:type="first" r:id="rId16"/>
      <w:footerReference w:type="first" r:id="rId17"/>
      <w:pgSz w:w="11906" w:h="16838" w:code="9"/>
      <w:pgMar w:top="2268"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67A87" w14:textId="77777777" w:rsidR="00192170" w:rsidRDefault="00192170" w:rsidP="00551561">
      <w:pPr>
        <w:spacing w:line="240" w:lineRule="auto"/>
      </w:pPr>
      <w:r>
        <w:separator/>
      </w:r>
    </w:p>
  </w:endnote>
  <w:endnote w:type="continuationSeparator" w:id="0">
    <w:p w14:paraId="1530F7C5" w14:textId="77777777" w:rsidR="00192170" w:rsidRDefault="00192170"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362D53">
      <w:rPr>
        <w:rFonts w:ascii="Arial" w:hAnsi="Arial" w:cs="Arial"/>
        <w:noProof/>
        <w:sz w:val="14"/>
      </w:rPr>
      <w:t>3</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362D53">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362D53">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362D53">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C5D0A" w14:textId="77777777" w:rsidR="00192170" w:rsidRDefault="00192170" w:rsidP="00551561">
      <w:pPr>
        <w:spacing w:line="240" w:lineRule="auto"/>
      </w:pPr>
      <w:r>
        <w:separator/>
      </w:r>
    </w:p>
  </w:footnote>
  <w:footnote w:type="continuationSeparator" w:id="0">
    <w:p w14:paraId="05E1DCB1" w14:textId="77777777" w:rsidR="00192170" w:rsidRDefault="00192170"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8DBCF62"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0CB898BA" w:rsidR="00B674B2" w:rsidRPr="003801B9" w:rsidRDefault="008D1413" w:rsidP="00C3208E">
    <w:pPr>
      <w:framePr w:w="1355" w:h="907" w:hSpace="142" w:wrap="around" w:vAnchor="page" w:hAnchor="page" w:x="9007" w:y="4321" w:anchorLock="1"/>
      <w:spacing w:line="260" w:lineRule="exact"/>
      <w:rPr>
        <w:rFonts w:ascii="Arial" w:hAnsi="Arial" w:cs="Arial"/>
      </w:rPr>
    </w:pPr>
    <w:r>
      <w:rPr>
        <w:rFonts w:ascii="Arial" w:hAnsi="Arial"/>
        <w:sz w:val="14"/>
      </w:rPr>
      <w:t>September 2023</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customized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40CA20B2" w:rsidR="005756EF" w:rsidRPr="007B7A9A" w:rsidRDefault="00A76B5A" w:rsidP="007B7A9A">
    <w:pPr>
      <w:pStyle w:val="Flietext"/>
      <w:framePr w:w="2274" w:h="930" w:hSpace="142" w:wrap="around" w:vAnchor="page" w:hAnchor="page" w:x="9062" w:y="8926" w:anchorLock="1"/>
      <w:spacing w:line="170" w:lineRule="atLeast"/>
      <w:ind w:left="-142"/>
      <w:rPr>
        <w:color w:val="auto"/>
        <w:sz w:val="14"/>
        <w:szCs w:val="14"/>
      </w:rPr>
    </w:pPr>
    <w:r>
      <w:rPr>
        <w:color w:val="auto"/>
        <w:sz w:val="14"/>
      </w:rPr>
      <w:t>The new Galaxie</w:t>
    </w:r>
    <w:r>
      <w:rPr>
        <w:color w:val="auto"/>
        <w:sz w:val="14"/>
        <w:vertAlign w:val="superscript"/>
      </w:rPr>
      <w:t>®</w:t>
    </w:r>
    <w:r>
      <w:rPr>
        <w:color w:val="auto"/>
        <w:sz w:val="14"/>
      </w:rPr>
      <w:t xml:space="preserve"> accuracy line series of gearboxes</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37149B34" w14:textId="43982DB4" w:rsidR="00B23BAB" w:rsidRDefault="005756EF" w:rsidP="007B7A9A">
    <w:pPr>
      <w:pStyle w:val="Kopfzeile"/>
    </w:pPr>
    <w:r>
      <w:rPr>
        <w:noProof/>
        <w:lang w:val="de-DE" w:eastAsia="de-DE"/>
      </w:rPr>
      <w:drawing>
        <wp:anchor distT="0" distB="0" distL="114300" distR="114300" simplePos="0" relativeHeight="251659264" behindDoc="0" locked="1" layoutInCell="1" allowOverlap="1" wp14:anchorId="3CBAEB6B" wp14:editId="4C5DD682">
          <wp:simplePos x="0" y="0"/>
          <wp:positionH relativeFrom="column">
            <wp:posOffset>4752975</wp:posOffset>
          </wp:positionH>
          <wp:positionV relativeFrom="page">
            <wp:posOffset>4646930</wp:posOffset>
          </wp:positionV>
          <wp:extent cx="1387475" cy="971550"/>
          <wp:effectExtent l="0" t="0" r="3175" b="0"/>
          <wp:wrapTopAndBottom/>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3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7E59A24"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FC6E21"/>
    <w:multiLevelType w:val="hybridMultilevel"/>
    <w:tmpl w:val="D41A8A4E"/>
    <w:lvl w:ilvl="0" w:tplc="E8965A9E">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24072223">
    <w:abstractNumId w:val="21"/>
  </w:num>
  <w:num w:numId="2" w16cid:durableId="828204874">
    <w:abstractNumId w:val="19"/>
  </w:num>
  <w:num w:numId="3" w16cid:durableId="1010327196">
    <w:abstractNumId w:val="13"/>
  </w:num>
  <w:num w:numId="4" w16cid:durableId="1199195557">
    <w:abstractNumId w:val="9"/>
  </w:num>
  <w:num w:numId="5" w16cid:durableId="2095320615">
    <w:abstractNumId w:val="7"/>
  </w:num>
  <w:num w:numId="6" w16cid:durableId="870653590">
    <w:abstractNumId w:val="6"/>
  </w:num>
  <w:num w:numId="7" w16cid:durableId="393359519">
    <w:abstractNumId w:val="5"/>
  </w:num>
  <w:num w:numId="8" w16cid:durableId="379593964">
    <w:abstractNumId w:val="4"/>
  </w:num>
  <w:num w:numId="9" w16cid:durableId="1476027819">
    <w:abstractNumId w:val="8"/>
  </w:num>
  <w:num w:numId="10" w16cid:durableId="1265923548">
    <w:abstractNumId w:val="3"/>
  </w:num>
  <w:num w:numId="11" w16cid:durableId="2125466569">
    <w:abstractNumId w:val="2"/>
  </w:num>
  <w:num w:numId="12" w16cid:durableId="1924991759">
    <w:abstractNumId w:val="1"/>
  </w:num>
  <w:num w:numId="13" w16cid:durableId="2013222616">
    <w:abstractNumId w:val="0"/>
  </w:num>
  <w:num w:numId="14" w16cid:durableId="184296376">
    <w:abstractNumId w:val="23"/>
  </w:num>
  <w:num w:numId="15" w16cid:durableId="1858733593">
    <w:abstractNumId w:val="10"/>
  </w:num>
  <w:num w:numId="16" w16cid:durableId="726999239">
    <w:abstractNumId w:val="27"/>
  </w:num>
  <w:num w:numId="17" w16cid:durableId="676737888">
    <w:abstractNumId w:val="14"/>
  </w:num>
  <w:num w:numId="18" w16cid:durableId="1859811425">
    <w:abstractNumId w:val="22"/>
  </w:num>
  <w:num w:numId="19" w16cid:durableId="1256474084">
    <w:abstractNumId w:val="25"/>
  </w:num>
  <w:num w:numId="20" w16cid:durableId="1316254188">
    <w:abstractNumId w:val="11"/>
  </w:num>
  <w:num w:numId="21" w16cid:durableId="1660696108">
    <w:abstractNumId w:val="20"/>
  </w:num>
  <w:num w:numId="22" w16cid:durableId="2122719067">
    <w:abstractNumId w:val="28"/>
  </w:num>
  <w:num w:numId="23" w16cid:durableId="1453866056">
    <w:abstractNumId w:val="18"/>
  </w:num>
  <w:num w:numId="24" w16cid:durableId="169806428">
    <w:abstractNumId w:val="26"/>
  </w:num>
  <w:num w:numId="25" w16cid:durableId="722993842">
    <w:abstractNumId w:val="12"/>
  </w:num>
  <w:num w:numId="26" w16cid:durableId="556161507">
    <w:abstractNumId w:val="15"/>
  </w:num>
  <w:num w:numId="27" w16cid:durableId="853153965">
    <w:abstractNumId w:val="16"/>
  </w:num>
  <w:num w:numId="28" w16cid:durableId="1099182497">
    <w:abstractNumId w:val="17"/>
  </w:num>
  <w:num w:numId="29" w16cid:durableId="118525048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170BD"/>
    <w:rsid w:val="00021079"/>
    <w:rsid w:val="00025F08"/>
    <w:rsid w:val="00040699"/>
    <w:rsid w:val="000516FD"/>
    <w:rsid w:val="00093A75"/>
    <w:rsid w:val="0009490E"/>
    <w:rsid w:val="000D67C9"/>
    <w:rsid w:val="000E7FD2"/>
    <w:rsid w:val="0010111B"/>
    <w:rsid w:val="001120D3"/>
    <w:rsid w:val="00114C3A"/>
    <w:rsid w:val="0012195A"/>
    <w:rsid w:val="00174DE9"/>
    <w:rsid w:val="00185051"/>
    <w:rsid w:val="00192170"/>
    <w:rsid w:val="00196D4D"/>
    <w:rsid w:val="001A1D17"/>
    <w:rsid w:val="001B5B84"/>
    <w:rsid w:val="001C181D"/>
    <w:rsid w:val="001D1272"/>
    <w:rsid w:val="001F0178"/>
    <w:rsid w:val="001F19A5"/>
    <w:rsid w:val="00216485"/>
    <w:rsid w:val="00224615"/>
    <w:rsid w:val="00256E0D"/>
    <w:rsid w:val="00287C61"/>
    <w:rsid w:val="002A52F2"/>
    <w:rsid w:val="002B1104"/>
    <w:rsid w:val="002B17FE"/>
    <w:rsid w:val="002B4AE5"/>
    <w:rsid w:val="002F40E5"/>
    <w:rsid w:val="003021E2"/>
    <w:rsid w:val="00311064"/>
    <w:rsid w:val="00321EB2"/>
    <w:rsid w:val="00362D53"/>
    <w:rsid w:val="003748C6"/>
    <w:rsid w:val="003801B9"/>
    <w:rsid w:val="003A2B45"/>
    <w:rsid w:val="003B0DD5"/>
    <w:rsid w:val="003E25F2"/>
    <w:rsid w:val="003F6FAD"/>
    <w:rsid w:val="0040748A"/>
    <w:rsid w:val="00413379"/>
    <w:rsid w:val="00423092"/>
    <w:rsid w:val="004308A9"/>
    <w:rsid w:val="00437216"/>
    <w:rsid w:val="00440CF5"/>
    <w:rsid w:val="00455E16"/>
    <w:rsid w:val="00464BC2"/>
    <w:rsid w:val="0048412B"/>
    <w:rsid w:val="00484935"/>
    <w:rsid w:val="0049416A"/>
    <w:rsid w:val="004B5DB9"/>
    <w:rsid w:val="004C429A"/>
    <w:rsid w:val="004C4F55"/>
    <w:rsid w:val="004C68BC"/>
    <w:rsid w:val="004D07A3"/>
    <w:rsid w:val="004D319F"/>
    <w:rsid w:val="004D34EF"/>
    <w:rsid w:val="004D478F"/>
    <w:rsid w:val="00502B7D"/>
    <w:rsid w:val="005039C0"/>
    <w:rsid w:val="00515472"/>
    <w:rsid w:val="005258FF"/>
    <w:rsid w:val="0053585A"/>
    <w:rsid w:val="00542C6B"/>
    <w:rsid w:val="00551561"/>
    <w:rsid w:val="005517E6"/>
    <w:rsid w:val="00554B1D"/>
    <w:rsid w:val="005671FA"/>
    <w:rsid w:val="005756EF"/>
    <w:rsid w:val="005C09E4"/>
    <w:rsid w:val="00606C2B"/>
    <w:rsid w:val="00631774"/>
    <w:rsid w:val="006429B7"/>
    <w:rsid w:val="00651504"/>
    <w:rsid w:val="00666299"/>
    <w:rsid w:val="006716C1"/>
    <w:rsid w:val="00672959"/>
    <w:rsid w:val="00686ABC"/>
    <w:rsid w:val="0069402F"/>
    <w:rsid w:val="006A6E20"/>
    <w:rsid w:val="006B2B81"/>
    <w:rsid w:val="006B482A"/>
    <w:rsid w:val="006E221E"/>
    <w:rsid w:val="006F061C"/>
    <w:rsid w:val="007115D0"/>
    <w:rsid w:val="00716A00"/>
    <w:rsid w:val="00784580"/>
    <w:rsid w:val="00787015"/>
    <w:rsid w:val="007B7A9A"/>
    <w:rsid w:val="007D5EE7"/>
    <w:rsid w:val="007E1B3A"/>
    <w:rsid w:val="007E5945"/>
    <w:rsid w:val="007E60A1"/>
    <w:rsid w:val="007F373B"/>
    <w:rsid w:val="00803E65"/>
    <w:rsid w:val="00834396"/>
    <w:rsid w:val="00846C26"/>
    <w:rsid w:val="00876D55"/>
    <w:rsid w:val="00877EB9"/>
    <w:rsid w:val="008839C9"/>
    <w:rsid w:val="0088602E"/>
    <w:rsid w:val="008B1946"/>
    <w:rsid w:val="008C0BFE"/>
    <w:rsid w:val="008C5331"/>
    <w:rsid w:val="008D1413"/>
    <w:rsid w:val="008D220C"/>
    <w:rsid w:val="008F5F99"/>
    <w:rsid w:val="00916636"/>
    <w:rsid w:val="0093418D"/>
    <w:rsid w:val="009543AF"/>
    <w:rsid w:val="00970DEC"/>
    <w:rsid w:val="00990DB4"/>
    <w:rsid w:val="00995F4C"/>
    <w:rsid w:val="00996AEF"/>
    <w:rsid w:val="009A1FCE"/>
    <w:rsid w:val="009C7114"/>
    <w:rsid w:val="00A153E8"/>
    <w:rsid w:val="00A22558"/>
    <w:rsid w:val="00A76B5A"/>
    <w:rsid w:val="00AD011C"/>
    <w:rsid w:val="00AD3A03"/>
    <w:rsid w:val="00AF69ED"/>
    <w:rsid w:val="00B06414"/>
    <w:rsid w:val="00B0755A"/>
    <w:rsid w:val="00B23BAB"/>
    <w:rsid w:val="00B27296"/>
    <w:rsid w:val="00B674B2"/>
    <w:rsid w:val="00BA5D61"/>
    <w:rsid w:val="00BF5603"/>
    <w:rsid w:val="00C12291"/>
    <w:rsid w:val="00C3208E"/>
    <w:rsid w:val="00C45C64"/>
    <w:rsid w:val="00C62472"/>
    <w:rsid w:val="00C62513"/>
    <w:rsid w:val="00C678B9"/>
    <w:rsid w:val="00CC07AD"/>
    <w:rsid w:val="00CD0E2F"/>
    <w:rsid w:val="00D20BF8"/>
    <w:rsid w:val="00D35894"/>
    <w:rsid w:val="00D44517"/>
    <w:rsid w:val="00D51188"/>
    <w:rsid w:val="00D7578B"/>
    <w:rsid w:val="00D772EF"/>
    <w:rsid w:val="00D85B55"/>
    <w:rsid w:val="00D9378B"/>
    <w:rsid w:val="00DB2CEB"/>
    <w:rsid w:val="00DC3644"/>
    <w:rsid w:val="00DC5E12"/>
    <w:rsid w:val="00DD77E8"/>
    <w:rsid w:val="00DE48C9"/>
    <w:rsid w:val="00DF442F"/>
    <w:rsid w:val="00DF7C12"/>
    <w:rsid w:val="00E25A17"/>
    <w:rsid w:val="00E41FF4"/>
    <w:rsid w:val="00E43C70"/>
    <w:rsid w:val="00E55EFF"/>
    <w:rsid w:val="00E6035D"/>
    <w:rsid w:val="00E63DEB"/>
    <w:rsid w:val="00EA6527"/>
    <w:rsid w:val="00ED0F6F"/>
    <w:rsid w:val="00ED6D77"/>
    <w:rsid w:val="00EE24F4"/>
    <w:rsid w:val="00F00105"/>
    <w:rsid w:val="00F007ED"/>
    <w:rsid w:val="00F00CCE"/>
    <w:rsid w:val="00F01E26"/>
    <w:rsid w:val="00F035A4"/>
    <w:rsid w:val="00F13600"/>
    <w:rsid w:val="00F17EC8"/>
    <w:rsid w:val="00F31E55"/>
    <w:rsid w:val="00F41791"/>
    <w:rsid w:val="00F542E0"/>
    <w:rsid w:val="00F56426"/>
    <w:rsid w:val="00F60746"/>
    <w:rsid w:val="00F628B7"/>
    <w:rsid w:val="00F75F3F"/>
    <w:rsid w:val="00F82F31"/>
    <w:rsid w:val="00FA20B6"/>
    <w:rsid w:val="00FA33C1"/>
    <w:rsid w:val="00FB05B0"/>
    <w:rsid w:val="00FB3C96"/>
    <w:rsid w:val="00FC4FF4"/>
    <w:rsid w:val="00FD04AF"/>
    <w:rsid w:val="00FE6F7F"/>
    <w:rsid w:val="00FE72D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F387D8"/>
  <w15:docId w15:val="{5AA094B2-0FC8-4784-B07B-E57EA872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3A2B45"/>
    <w:pPr>
      <w:spacing w:after="0" w:line="240" w:lineRule="auto"/>
    </w:pPr>
  </w:style>
  <w:style w:type="character" w:customStyle="1" w:styleId="cf01">
    <w:name w:val="cf01"/>
    <w:basedOn w:val="Absatz-Standardschriftart"/>
    <w:rsid w:val="002A52F2"/>
    <w:rPr>
      <w:rFonts w:ascii="Segoe UI" w:hAnsi="Segoe UI" w:cs="Segoe UI" w:hint="default"/>
      <w:sz w:val="18"/>
      <w:szCs w:val="18"/>
    </w:rPr>
  </w:style>
  <w:style w:type="paragraph" w:customStyle="1" w:styleId="pf0">
    <w:name w:val="pf0"/>
    <w:basedOn w:val="Standard"/>
    <w:rsid w:val="00BA5D6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cf11">
    <w:name w:val="cf11"/>
    <w:basedOn w:val="Absatz-Standardschriftart"/>
    <w:rsid w:val="00BA5D6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906185929">
      <w:bodyDiv w:val="1"/>
      <w:marLeft w:val="0"/>
      <w:marRight w:val="0"/>
      <w:marTop w:val="0"/>
      <w:marBottom w:val="0"/>
      <w:divBdr>
        <w:top w:val="none" w:sz="0" w:space="0" w:color="auto"/>
        <w:left w:val="none" w:sz="0" w:space="0" w:color="auto"/>
        <w:bottom w:val="none" w:sz="0" w:space="0" w:color="auto"/>
        <w:right w:val="none" w:sz="0" w:space="0" w:color="auto"/>
      </w:divBdr>
    </w:div>
    <w:div w:id="204493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Machine_too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C3D2BD636B5A419BAD05E841795857" ma:contentTypeVersion="17" ma:contentTypeDescription="Ein neues Dokument erstellen." ma:contentTypeScope="" ma:versionID="e2bb65b81bbe7bae9dc3c2077309122b">
  <xsd:schema xmlns:xsd="http://www.w3.org/2001/XMLSchema" xmlns:xs="http://www.w3.org/2001/XMLSchema" xmlns:p="http://schemas.microsoft.com/office/2006/metadata/properties" xmlns:ns2="47eca727-4d0b-477e-b072-40937d4c9e00" targetNamespace="http://schemas.microsoft.com/office/2006/metadata/properties" ma:root="true" ma:fieldsID="415b14624f28a9f92cfa9ef585517716" ns2:_="">
    <xsd:import namespace="47eca727-4d0b-477e-b072-40937d4c9e0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ca727-4d0b-477e-b072-40937d4c9e00"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file>

<file path=customXml/itemProps1.xml><?xml version="1.0" encoding="utf-8"?>
<ds:datastoreItem xmlns:ds="http://schemas.openxmlformats.org/officeDocument/2006/customXml" ds:itemID="{E08661EA-D5BC-4B10-9BFA-364B0E2C58A9}">
  <ds:schemaRefs>
    <ds:schemaRef ds:uri="http://schemas.openxmlformats.org/officeDocument/2006/bibliography"/>
  </ds:schemaRefs>
</ds:datastoreItem>
</file>

<file path=customXml/itemProps2.xml><?xml version="1.0" encoding="utf-8"?>
<ds:datastoreItem xmlns:ds="http://schemas.openxmlformats.org/officeDocument/2006/customXml" ds:itemID="{1FEFB6E6-0612-45B7-8A75-0BF0B5774D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FD72AE-CA3D-45CA-8E90-9953CFC99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ca727-4d0b-477e-b072-40937d4c9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657E0A-D308-43AA-9408-1DCF8BB24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4881</Characters>
  <Application>Microsoft Office Word</Application>
  <DocSecurity>0</DocSecurity>
  <Lines>128</Lines>
  <Paragraphs>20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4</cp:revision>
  <cp:lastPrinted>2023-09-04T13:33:00Z</cp:lastPrinted>
  <dcterms:created xsi:type="dcterms:W3CDTF">2023-09-05T08:20:00Z</dcterms:created>
  <dcterms:modified xsi:type="dcterms:W3CDTF">2023-09-12T08:24:00Z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0x010100A2C3D2BD636B5A419BAD05E841795857</vt:lpwstr>
  </property>
</Properties>
</file>